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F2F10" w14:paraId="3B650FD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0F6FE87" w14:textId="77777777" w:rsidR="007F2F1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E8F52B7" w14:textId="77777777" w:rsidR="007F2F10" w:rsidRDefault="00000000">
            <w:pPr>
              <w:spacing w:after="0" w:line="240" w:lineRule="auto"/>
            </w:pPr>
            <w:r>
              <w:t>26651</w:t>
            </w:r>
          </w:p>
        </w:tc>
      </w:tr>
      <w:tr w:rsidR="007F2F10" w14:paraId="2BB2BBF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F1EAC3D" w14:textId="77777777" w:rsidR="007F2F1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6C26BEA" w14:textId="77777777" w:rsidR="007F2F10" w:rsidRDefault="00000000">
            <w:pPr>
              <w:spacing w:after="0" w:line="240" w:lineRule="auto"/>
            </w:pPr>
            <w:r>
              <w:t>DJEČJI VRTIĆ TRATINČICA</w:t>
            </w:r>
          </w:p>
        </w:tc>
      </w:tr>
      <w:tr w:rsidR="007F2F10" w14:paraId="0611BF5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2E2936F" w14:textId="77777777" w:rsidR="007F2F1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93EB77B" w14:textId="77777777" w:rsidR="007F2F10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71E5DB98" w14:textId="77777777" w:rsidR="007F2F10" w:rsidRDefault="00000000">
      <w:r>
        <w:br/>
      </w:r>
    </w:p>
    <w:p w14:paraId="1A264D82" w14:textId="77777777" w:rsidR="007F2F1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A782E4C" w14:textId="77777777" w:rsidR="007F2F1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F94EAAE" w14:textId="77777777" w:rsidR="007F2F10" w:rsidRDefault="00000000">
      <w:pPr>
        <w:spacing w:line="240" w:lineRule="auto"/>
        <w:jc w:val="center"/>
      </w:pPr>
      <w:r>
        <w:rPr>
          <w:b/>
          <w:sz w:val="28"/>
        </w:rPr>
        <w:t>I - IX 2025.</w:t>
      </w:r>
    </w:p>
    <w:p w14:paraId="0EFC0395" w14:textId="77777777" w:rsidR="007F2F10" w:rsidRDefault="007F2F10"/>
    <w:p w14:paraId="75223408" w14:textId="77777777" w:rsidR="007F2F1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C330CFE" w14:textId="77777777" w:rsidR="007F2F10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2F10" w14:paraId="064AD6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6504E" w14:textId="77777777" w:rsidR="007F2F1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3869E" w14:textId="77777777" w:rsidR="007F2F1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043C7" w14:textId="77777777" w:rsidR="007F2F1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4DDD1" w14:textId="77777777" w:rsidR="007F2F1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E816E" w14:textId="77777777" w:rsidR="007F2F1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781F04" w14:textId="77777777" w:rsidR="007F2F1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2F10" w14:paraId="2038B9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0B95B3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7AAC13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829A6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D29720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103.464,10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FC8DF3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193.360,77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E8FA0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186,9</w:t>
            </w:r>
          </w:p>
        </w:tc>
      </w:tr>
      <w:tr w:rsidR="007F2F10" w14:paraId="5D987C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361A6C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A07F45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F5256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465FAC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111.007,66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D10653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190.891,86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EC8AE0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172,0</w:t>
            </w:r>
          </w:p>
        </w:tc>
      </w:tr>
      <w:tr w:rsidR="007F2F10" w14:paraId="4616D7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EA659F" w14:textId="77777777" w:rsidR="007F2F10" w:rsidRDefault="007F2F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49608C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09C841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446F3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3289F5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2.468,91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E33FE4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2F10" w14:paraId="52D7D5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43980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5EDD68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0CD00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A55A42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466FA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F45DD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2F10" w14:paraId="60DE2F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34BAC2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ED69C9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01E88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0316E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9523B4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3.702,49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876298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2F10" w14:paraId="2E1500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D1D40A" w14:textId="77777777" w:rsidR="007F2F10" w:rsidRDefault="007F2F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C04B7C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CDBAB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40044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B260B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3.702,49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F38DB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2F10" w14:paraId="4D74D0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5D682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C33802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486517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5AFE51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DB56E6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A17792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2F10" w14:paraId="3EEB2C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F2AF3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CF5B8E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84808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F00E89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6A5705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91C9A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2F10" w14:paraId="4D571D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C25E0" w14:textId="77777777" w:rsidR="007F2F10" w:rsidRDefault="007F2F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15F1CA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9D669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D32FB7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DA7ACF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656A8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2F10" w14:paraId="4194AA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0F14D7" w14:textId="77777777" w:rsidR="007F2F10" w:rsidRDefault="007F2F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9F4696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3B118" w14:textId="77777777" w:rsidR="007F2F1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DE64C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7.543,56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C8BFC2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1.233,58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160A0" w14:textId="77777777" w:rsidR="007F2F1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16,4</w:t>
            </w:r>
          </w:p>
        </w:tc>
      </w:tr>
    </w:tbl>
    <w:p w14:paraId="7F58ECF4" w14:textId="77777777" w:rsidR="007F2F10" w:rsidRDefault="007F2F10">
      <w:pPr>
        <w:spacing w:after="0"/>
      </w:pPr>
    </w:p>
    <w:p w14:paraId="118742CE" w14:textId="3FCC52F2" w:rsidR="007F2F10" w:rsidRDefault="00000000">
      <w:pPr>
        <w:spacing w:line="240" w:lineRule="auto"/>
        <w:jc w:val="both"/>
      </w:pPr>
      <w:r>
        <w:t>Prihodi poslovanja:  Sastoje se iz:  Prihodi iz proračuna JLPRS za financiranje redovne djelatnosti 138.574,54 €, prihodi od participacije roditelja 28.794,83€, prihodi od Hrvatskog zavoda za zapošljavanje 20.986,64 €, prihodi od donacija (iz proračuna LSŽ) 5.000,00 €, prihodi od kamata na depozit 1,76€. Ukupni prihodi veći su od istih u 2024. g 86%</w:t>
      </w:r>
      <w:r w:rsidR="00DD31BE">
        <w:t>.</w:t>
      </w:r>
      <w:r>
        <w:t xml:space="preserve"> </w:t>
      </w:r>
      <w:r w:rsidR="00DD31BE">
        <w:t>R</w:t>
      </w:r>
      <w:r>
        <w:t>azlog je povećan broj djece-korisnika, formiranje nove</w:t>
      </w:r>
      <w:r w:rsidR="00DD31BE">
        <w:t xml:space="preserve"> odgojno-obrazovne skupine</w:t>
      </w:r>
      <w:r>
        <w:t xml:space="preserve">, stavljanje u funkciju novih prostorija. Isto je dovelo do potrebe zapošljavanja novih djelatnika te su zaposlene dvije osobe na određeno vrijeme za rad s djecom na radno mjesto odgojitelja. Ovo </w:t>
      </w:r>
      <w:r>
        <w:lastRenderedPageBreak/>
        <w:t xml:space="preserve">je dovelo do potrebe većih iznosa sufinanciranja. Dvije osobe za sporedne djelatnosti (čišćenje i održavanje prostorija i okoliša i ostalo) zaposlene su putem sufinanciranja od strane Zavoda za zapošljavanje na ime čega su primljena sredstva u iznosu od 20.986,64 €.  Prihod od participacije roditelja povećan je u odnosu na 2024. g cca 11%. Manji porast ovog prihoda u odnosu na povećanje broja djece ostvaren je iz razloga što je rad </w:t>
      </w:r>
      <w:r w:rsidR="00DD31BE">
        <w:t>nove</w:t>
      </w:r>
      <w:r>
        <w:t xml:space="preserve"> skupine  krenuo s 01.07.2025. zbog produženog roka za tehnički pregled i stavljanja u funkciju novih prostorija. Također su mjeseci srpanj i kolovoz mjeseci korištenja godišnjih odmora pa je za taj period ostvaren manji prihod jer su korisnici plaćali smanjene participacije za vrijeme godišnjih odmora i nepohađanja vrtića. Očekuje se povećanje ovih prihoda do kraja godine. Rashodi: Ukupni rashodi u iznosu 194.594,35 € sastoje se iz rashodi za redovnu djelatnost 190.891,86 € i rashodi za nabavu opreme (stolice i ostalo) 3.702,49 €. Rashodi za redovnu djelatnost sastoje se iz: rashodi za zaposlene 157.799,28 €, rashodi za materijal i energiju 32.631,09 €,  platni promet 461,52 €. Rashodi za zaposlene su znatno veći od istih u 2024. iz razloga povećanja broja djelatnika, te usklađenja koeficijenata i porasta osnovica plaća. Ostali rashodi za zaposlene su veći zbog većeg broja djelatnika putnika. Ostali materijalni i ostali troškovi su povećani zbog porasta cijena na tržištu, većih potreba za namirnicama zbog povećanja broja korisnika kao i većim potrebama za materijal za čišćenje i održavanje zbog stavljanja novih prostorija u funkciju te održavanja većih prostora. Do manjka prihoda je došlo jer nisu primljena sredstva za financiranje rashoda za 9. mjesec a troškovi za 9 mjesec su obuhvaćeni.</w:t>
      </w:r>
    </w:p>
    <w:p w14:paraId="0D1A9D8C" w14:textId="77777777" w:rsidR="007F2F10" w:rsidRDefault="00000000">
      <w:r>
        <w:br/>
      </w:r>
    </w:p>
    <w:sectPr w:rsidR="007F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10"/>
    <w:rsid w:val="00424451"/>
    <w:rsid w:val="007F2F10"/>
    <w:rsid w:val="00DD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8AE2"/>
  <w15:docId w15:val="{2A20278C-95FF-41E9-94CF-CD5AA77B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3021</Characters>
  <Application>Microsoft Office Word</Application>
  <DocSecurity>0</DocSecurity>
  <Lines>25</Lines>
  <Paragraphs>7</Paragraphs>
  <ScaleCrop>false</ScaleCrop>
  <Company>Grizli777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Vrtić Tratinčica</cp:lastModifiedBy>
  <cp:revision>2</cp:revision>
  <cp:lastPrinted>2025-10-21T08:06:00Z</cp:lastPrinted>
  <dcterms:created xsi:type="dcterms:W3CDTF">2025-10-21T08:12:00Z</dcterms:created>
  <dcterms:modified xsi:type="dcterms:W3CDTF">2025-10-21T08:12:00Z</dcterms:modified>
</cp:coreProperties>
</file>